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sz w:val="28"/>
          <w:szCs w:val="28"/>
        </w:rPr>
        <w:t xml:space="preserve">Аналитическая справка по итогам выполнения НИКО по русскому языку </w:t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sz w:val="28"/>
          <w:szCs w:val="28"/>
        </w:rPr>
        <w:t>в Зианчуринском районе в 2020 — 2021 учебном году</w:t>
      </w:r>
    </w:p>
    <w:p>
      <w:pPr>
        <w:pStyle w:val="style0"/>
        <w:ind w:firstLine="284" w:left="708" w:right="425"/>
        <w:jc w:val="both"/>
      </w:pPr>
      <w:r>
        <w:rPr>
          <w:rStyle w:val="style16"/>
          <w:rFonts w:ascii="Nimbus Roman No9 L" w:cs="Times New Roman" w:hAnsi="Nimbus Roman No9 L"/>
          <w:b w:val="false"/>
          <w:bCs w:val="false"/>
          <w:sz w:val="28"/>
          <w:szCs w:val="28"/>
        </w:rPr>
        <w:t>Целью диагностических тестирований является оценка качества каждого задания и каждого варианта контрольного измерительного материала при формировании открытого банка оценочных средств по русскому языку.</w:t>
      </w:r>
    </w:p>
    <w:p>
      <w:pPr>
        <w:pStyle w:val="style0"/>
        <w:ind w:firstLine="284" w:left="708" w:right="425"/>
        <w:jc w:val="both"/>
      </w:pPr>
      <w:r>
        <w:rPr>
          <w:rStyle w:val="style16"/>
          <w:rFonts w:ascii="Nimbus Roman No9 L" w:hAnsi="Nimbus Roman No9 L"/>
          <w:b/>
          <w:bCs/>
          <w:sz w:val="28"/>
          <w:szCs w:val="28"/>
        </w:rPr>
        <w:t>МОАУ башкирская гимназия — интернат с.Исянгулово, 3 класс</w:t>
      </w:r>
    </w:p>
    <w:p>
      <w:pPr>
        <w:pStyle w:val="style0"/>
        <w:ind w:firstLine="284" w:left="708" w:right="425"/>
        <w:jc w:val="both"/>
      </w:pPr>
      <w:r>
        <w:rPr>
          <w:rStyle w:val="style16"/>
          <w:rFonts w:ascii="Nimbus Roman No9 L" w:hAnsi="Nimbus Roman No9 L"/>
          <w:b/>
          <w:bCs/>
          <w:sz w:val="28"/>
          <w:szCs w:val="28"/>
        </w:rPr>
        <w:t>Дата проведения:</w:t>
      </w:r>
      <w:r>
        <w:rPr>
          <w:rStyle w:val="style16"/>
          <w:rFonts w:ascii="Nimbus Roman No9 L" w:hAnsi="Nimbus Roman No9 L"/>
          <w:sz w:val="28"/>
          <w:szCs w:val="28"/>
        </w:rPr>
        <w:t xml:space="preserve"> 21.09.2020 </w:t>
      </w:r>
    </w:p>
    <w:p>
      <w:pPr>
        <w:pStyle w:val="style0"/>
        <w:ind w:firstLine="284" w:left="708" w:right="425"/>
        <w:jc w:val="both"/>
      </w:pPr>
      <w:r>
        <w:rPr>
          <w:rStyle w:val="style16"/>
          <w:rFonts w:ascii="Nimbus Roman No9 L" w:hAnsi="Nimbus Roman No9 L"/>
          <w:sz w:val="28"/>
          <w:szCs w:val="28"/>
        </w:rPr>
        <w:t>Всего в классе 20 обучающихся. Работу выполняли  19</w:t>
      </w:r>
      <w:r>
        <w:rPr>
          <w:rStyle w:val="style16"/>
          <w:rFonts w:ascii="Nimbus Roman No9 L" w:hAnsi="Nimbus Roman No9 L"/>
          <w:color w:val="FF0000"/>
          <w:sz w:val="28"/>
          <w:szCs w:val="28"/>
        </w:rPr>
        <w:t xml:space="preserve"> </w:t>
      </w:r>
      <w:r>
        <w:rPr>
          <w:rStyle w:val="style16"/>
          <w:rFonts w:ascii="Nimbus Roman No9 L" w:hAnsi="Nimbus Roman No9 L"/>
          <w:sz w:val="28"/>
          <w:szCs w:val="28"/>
        </w:rPr>
        <w:t>обучащихся.</w:t>
      </w:r>
    </w:p>
    <w:p>
      <w:pPr>
        <w:pStyle w:val="style0"/>
        <w:ind w:firstLine="284" w:left="708" w:right="425"/>
        <w:jc w:val="both"/>
      </w:pPr>
      <w:r>
        <w:rPr>
          <w:rFonts w:ascii="Nimbus Roman No9 L" w:hAnsi="Nimbus Roman No9 L"/>
          <w:sz w:val="28"/>
          <w:szCs w:val="28"/>
        </w:rPr>
        <w:t>Для 3-го класса предлагался  1 вариант КИМ (модель № 2), включающий 10 письменных заданий. На выполнение работы отводилось 45 минут.</w:t>
      </w:r>
    </w:p>
    <w:p>
      <w:pPr>
        <w:pStyle w:val="style0"/>
        <w:ind w:firstLine="284" w:left="708" w:right="425"/>
        <w:jc w:val="both"/>
      </w:pPr>
      <w:r>
        <w:rPr>
          <w:rStyle w:val="style16"/>
          <w:rFonts w:ascii="Nimbus Roman No9 L" w:hAnsi="Nimbus Roman No9 L"/>
          <w:sz w:val="28"/>
          <w:szCs w:val="28"/>
        </w:rPr>
        <w:t xml:space="preserve">Задания проверочной работы составлены на материале следующих блоков содержания курса русского языка: фонетика и графика, состав слова (морфемика), морфология, синтаксис, развитие речи. В работе две группы заданий. Первая группа включает 7 заданий, обязательных для выполнения всеми обучающимися. Вторая группа содержит 3 дополнительных задания повышенного уровня сложности, требующих проявления не только предметных умений, но и умений рассуждать, находить разные решения поставленной задачи, контролировать свою работу и находить ошибки. В работе использовано несколько типов заданий: с выбором ответа, с кратким ответом, с развёрнутым ответом. </w:t>
      </w:r>
    </w:p>
    <w:p>
      <w:pPr>
        <w:pStyle w:val="style0"/>
        <w:jc w:val="both"/>
      </w:pPr>
      <w:r>
        <w:rPr>
          <w:rFonts w:ascii="Nimbus Roman No9 L" w:cs="Times New Roman" w:hAnsi="Nimbus Roman No9 L"/>
          <w:b w:val="false"/>
          <w:bCs w:val="false"/>
          <w:sz w:val="28"/>
          <w:szCs w:val="28"/>
        </w:rPr>
        <w:tab/>
        <w:t xml:space="preserve">С базовым уровнем заданий справились все, но 7 задание вызвало у некоторых обучающихся затруднения. Некоторые забыли указать над  каждым словом, какой речью оно является. С 10 заданием  (повышенный уровень сложности) справились 3 обучающихся. </w:t>
      </w:r>
    </w:p>
    <w:p>
      <w:pPr>
        <w:pStyle w:val="style0"/>
        <w:jc w:val="both"/>
      </w:pPr>
      <w:r>
        <w:rPr>
          <w:rFonts w:ascii="Nimbus Roman No9 L" w:eastAsia="Calibri" w:hAnsi="Nimbus Roman No9 L"/>
          <w:b w:val="false"/>
          <w:bCs w:val="false"/>
          <w:sz w:val="28"/>
          <w:szCs w:val="28"/>
        </w:rPr>
        <w:t>Итого:</w:t>
      </w:r>
    </w:p>
    <w:p>
      <w:pPr>
        <w:pStyle w:val="style0"/>
        <w:tabs>
          <w:tab w:leader="none" w:pos="708" w:val="left"/>
          <w:tab w:leader="none" w:pos="1323" w:val="left"/>
        </w:tabs>
        <w:ind w:firstLine="284" w:left="0" w:right="0"/>
        <w:jc w:val="both"/>
      </w:pPr>
      <w:r>
        <w:rPr>
          <w:rFonts w:ascii="Nimbus Roman No9 L" w:eastAsia="Calibri" w:hAnsi="Nimbus Roman No9 L"/>
          <w:b w:val="false"/>
          <w:bCs w:val="false"/>
          <w:sz w:val="28"/>
          <w:szCs w:val="28"/>
        </w:rPr>
        <w:t>4 (14%) учащихся выполнили работу на высоком уровне,  9 (32%) учащихся  выполнили работу с  результатом выше среднего,  6 учащихся (22%)  – ниже среднего по классу. Успеваемость  - 100%, качество — 68%.</w:t>
      </w:r>
    </w:p>
    <w:p>
      <w:pPr>
        <w:pStyle w:val="style0"/>
        <w:jc w:val="both"/>
      </w:pPr>
      <w:r>
        <w:rPr>
          <w:rFonts w:ascii="Nimbus Roman No9 L" w:cs="Times New Roman" w:hAnsi="Nimbus Roman No9 L"/>
          <w:b w:val="false"/>
          <w:bCs w:val="false"/>
          <w:sz w:val="28"/>
          <w:szCs w:val="28"/>
        </w:rPr>
        <w:t>Данные результаты свидетельствуют о том, что сложность работы соответствовала познавательным возможностям данного класса. Большинство участников исследования показали хорошие результаты ( 13 обучающихся — 46%).</w:t>
      </w:r>
    </w:p>
    <w:p>
      <w:pPr>
        <w:pStyle w:val="style0"/>
        <w:jc w:val="left"/>
      </w:pP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МОБУ СОШ им.Ф.Султанова с. Исянгулово - в 5,7,9 классах</w:t>
      </w:r>
    </w:p>
    <w:p>
      <w:pPr>
        <w:pStyle w:val="style0"/>
        <w:spacing w:after="0" w:before="0" w:line="360" w:lineRule="auto"/>
        <w:ind w:firstLine="426" w:left="0" w:right="0"/>
        <w:jc w:val="both"/>
      </w:pPr>
      <w:r>
        <w:rPr>
          <w:rFonts w:ascii="Times New Roman" w:cs="Times New Roman" w:hAnsi="Times New Roman"/>
          <w:b/>
          <w:bCs/>
          <w:sz w:val="28"/>
          <w:szCs w:val="28"/>
        </w:rPr>
        <w:t>Дата выполнения:</w:t>
      </w:r>
      <w:r>
        <w:rPr>
          <w:rFonts w:ascii="Times New Roman" w:cs="Times New Roman" w:hAnsi="Times New Roman"/>
          <w:sz w:val="28"/>
          <w:szCs w:val="28"/>
        </w:rPr>
        <w:t xml:space="preserve"> 29.09.2020</w:t>
      </w:r>
    </w:p>
    <w:p>
      <w:pPr>
        <w:pStyle w:val="style0"/>
        <w:spacing w:after="0" w:before="0" w:line="360" w:lineRule="auto"/>
        <w:ind w:firstLine="426" w:left="0" w:right="0"/>
        <w:jc w:val="both"/>
      </w:pPr>
      <w:r>
        <w:rPr>
          <w:rFonts w:ascii="Times New Roman" w:cs="Times New Roman" w:hAnsi="Times New Roman"/>
          <w:b/>
          <w:bCs/>
          <w:sz w:val="28"/>
          <w:szCs w:val="28"/>
        </w:rPr>
        <w:t>Количество участников:</w:t>
      </w:r>
      <w:r>
        <w:rPr>
          <w:rFonts w:ascii="Times New Roman" w:cs="Times New Roman" w:hAnsi="Times New Roman"/>
          <w:sz w:val="28"/>
          <w:szCs w:val="28"/>
        </w:rPr>
        <w:t xml:space="preserve"> 155</w:t>
      </w:r>
    </w:p>
    <w:p>
      <w:pPr>
        <w:pStyle w:val="style22"/>
        <w:spacing w:after="28" w:before="28" w:line="360" w:lineRule="auto"/>
        <w:ind w:firstLine="426" w:left="0" w:right="0"/>
        <w:jc w:val="both"/>
        <w:textAlignment w:val="baseline"/>
      </w:pPr>
      <w:r>
        <w:rPr>
          <w:color w:val="000000"/>
          <w:sz w:val="28"/>
          <w:szCs w:val="28"/>
        </w:rPr>
        <w:t>Используемые в измерительных материалах тексты заданий в целом соответствуют формулировкам, принятым в учебниках, включенных в Федеральный перечень учебников, рекомендуемых Министерством образования и науки Российской Федерации к использованию при реализации имеющих государственную аккредитацию образовательных программ начального и основного общего образования (на соответствующий год проведения исследования и предыдущий учебный год).</w:t>
      </w:r>
    </w:p>
    <w:p>
      <w:pPr>
        <w:pStyle w:val="style22"/>
        <w:spacing w:after="28" w:before="28" w:line="360" w:lineRule="auto"/>
        <w:ind w:firstLine="426" w:left="0" w:right="0"/>
        <w:jc w:val="both"/>
        <w:textAlignment w:val="baseline"/>
      </w:pPr>
      <w:r>
        <w:rPr>
          <w:color w:val="000000"/>
          <w:sz w:val="28"/>
          <w:szCs w:val="28"/>
        </w:rPr>
        <w:t>Результаты выполнения диагностики показаны в таблице:</w:t>
      </w:r>
    </w:p>
    <w:tbl>
      <w:tblPr>
        <w:jc w:val="left"/>
        <w:tblInd w:type="dxa" w:w="-216"/>
        <w:tblBorders/>
      </w:tblPr>
      <w:tblGrid>
        <w:gridCol w:w="1240"/>
        <w:gridCol w:w="1999"/>
        <w:gridCol w:w="1997"/>
        <w:gridCol w:w="1998"/>
        <w:gridCol w:w="2005"/>
      </w:tblGrid>
      <w:tr>
        <w:trPr>
          <w:cantSplit w:val="false"/>
        </w:trPr>
        <w:tc>
          <w:tcPr>
            <w:tcW w:type="dxa" w:w="124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type="dxa" w:w="199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>Успеваемость</w:t>
            </w:r>
          </w:p>
        </w:tc>
        <w:tc>
          <w:tcPr>
            <w:tcW w:type="dxa" w:w="1997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>Качество</w:t>
            </w:r>
          </w:p>
        </w:tc>
        <w:tc>
          <w:tcPr>
            <w:tcW w:type="dxa" w:w="1998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>Средний показатель успеваемости по классам</w:t>
            </w:r>
          </w:p>
        </w:tc>
        <w:tc>
          <w:tcPr>
            <w:tcW w:type="dxa" w:w="2005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 xml:space="preserve">Средний показатель качества </w:t>
            </w:r>
          </w:p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>по классам</w:t>
            </w:r>
          </w:p>
        </w:tc>
      </w:tr>
      <w:tr>
        <w:trPr>
          <w:cantSplit w:val="false"/>
        </w:trPr>
        <w:tc>
          <w:tcPr>
            <w:tcW w:type="dxa" w:w="124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5а</w:t>
            </w:r>
          </w:p>
        </w:tc>
        <w:tc>
          <w:tcPr>
            <w:tcW w:type="dxa" w:w="199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78%</w:t>
            </w:r>
          </w:p>
        </w:tc>
        <w:tc>
          <w:tcPr>
            <w:tcW w:type="dxa" w:w="1997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17%</w:t>
            </w:r>
          </w:p>
        </w:tc>
        <w:tc>
          <w:tcPr>
            <w:tcW w:type="dxa" w:w="1998"/>
            <w:vMerge w:val="restart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  <w:p>
            <w:pPr>
              <w:pStyle w:val="style22"/>
              <w:spacing w:after="28" w:before="28" w:line="360" w:lineRule="auto"/>
              <w:jc w:val="center"/>
              <w:textAlignment w:val="baseline"/>
            </w:pPr>
            <w:r>
              <w:rPr>
                <w:color w:val="000000"/>
                <w:sz w:val="26"/>
                <w:szCs w:val="26"/>
              </w:rPr>
              <w:t>87%</w:t>
            </w:r>
          </w:p>
        </w:tc>
        <w:tc>
          <w:tcPr>
            <w:tcW w:type="dxa" w:w="2005"/>
            <w:vMerge w:val="restart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  <w:p>
            <w:pPr>
              <w:pStyle w:val="style22"/>
              <w:spacing w:after="28" w:before="28" w:line="360" w:lineRule="auto"/>
              <w:jc w:val="center"/>
              <w:textAlignment w:val="baseline"/>
            </w:pPr>
            <w:r>
              <w:rPr>
                <w:color w:val="000000"/>
                <w:sz w:val="26"/>
                <w:szCs w:val="26"/>
              </w:rPr>
              <w:t>41%</w:t>
            </w:r>
          </w:p>
        </w:tc>
      </w:tr>
      <w:tr>
        <w:trPr>
          <w:cantSplit w:val="false"/>
        </w:trPr>
        <w:tc>
          <w:tcPr>
            <w:tcW w:type="dxa" w:w="124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5в</w:t>
            </w:r>
          </w:p>
        </w:tc>
        <w:tc>
          <w:tcPr>
            <w:tcW w:type="dxa" w:w="199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82%</w:t>
            </w:r>
          </w:p>
        </w:tc>
        <w:tc>
          <w:tcPr>
            <w:tcW w:type="dxa" w:w="1997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18%</w:t>
            </w:r>
          </w:p>
        </w:tc>
        <w:tc>
          <w:tcPr>
            <w:tcW w:type="dxa" w:w="1998"/>
            <w:vMerge w:val="continue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</w:tc>
        <w:tc>
          <w:tcPr>
            <w:tcW w:type="dxa" w:w="2005"/>
            <w:vMerge w:val="continue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124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5г</w:t>
            </w:r>
          </w:p>
        </w:tc>
        <w:tc>
          <w:tcPr>
            <w:tcW w:type="dxa" w:w="199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100%</w:t>
            </w:r>
          </w:p>
        </w:tc>
        <w:tc>
          <w:tcPr>
            <w:tcW w:type="dxa" w:w="1997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87,5%</w:t>
            </w:r>
          </w:p>
        </w:tc>
        <w:tc>
          <w:tcPr>
            <w:tcW w:type="dxa" w:w="1998"/>
            <w:vMerge w:val="continue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</w:tc>
        <w:tc>
          <w:tcPr>
            <w:tcW w:type="dxa" w:w="2005"/>
            <w:vMerge w:val="continue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124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7а</w:t>
            </w:r>
          </w:p>
        </w:tc>
        <w:tc>
          <w:tcPr>
            <w:tcW w:type="dxa" w:w="199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100%</w:t>
            </w:r>
          </w:p>
        </w:tc>
        <w:tc>
          <w:tcPr>
            <w:tcW w:type="dxa" w:w="1997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72%</w:t>
            </w:r>
          </w:p>
        </w:tc>
        <w:tc>
          <w:tcPr>
            <w:tcW w:type="dxa" w:w="1998"/>
            <w:vMerge w:val="restart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  <w:p>
            <w:pPr>
              <w:pStyle w:val="style22"/>
              <w:spacing w:after="28" w:before="28" w:line="360" w:lineRule="auto"/>
              <w:jc w:val="center"/>
              <w:textAlignment w:val="baseline"/>
            </w:pPr>
            <w:r>
              <w:rPr>
                <w:color w:val="000000"/>
                <w:sz w:val="26"/>
                <w:szCs w:val="26"/>
              </w:rPr>
              <w:t>100%</w:t>
            </w:r>
          </w:p>
        </w:tc>
        <w:tc>
          <w:tcPr>
            <w:tcW w:type="dxa" w:w="2005"/>
            <w:vMerge w:val="restart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  <w:p>
            <w:pPr>
              <w:pStyle w:val="style22"/>
              <w:spacing w:after="28" w:before="28" w:line="360" w:lineRule="auto"/>
              <w:jc w:val="center"/>
              <w:textAlignment w:val="baseline"/>
            </w:pPr>
            <w:r>
              <w:rPr>
                <w:color w:val="000000"/>
                <w:sz w:val="26"/>
                <w:szCs w:val="26"/>
              </w:rPr>
              <w:t>91%</w:t>
            </w:r>
          </w:p>
        </w:tc>
      </w:tr>
      <w:tr>
        <w:trPr>
          <w:cantSplit w:val="false"/>
        </w:trPr>
        <w:tc>
          <w:tcPr>
            <w:tcW w:type="dxa" w:w="124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7б</w:t>
            </w:r>
          </w:p>
        </w:tc>
        <w:tc>
          <w:tcPr>
            <w:tcW w:type="dxa" w:w="199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100%</w:t>
            </w:r>
          </w:p>
        </w:tc>
        <w:tc>
          <w:tcPr>
            <w:tcW w:type="dxa" w:w="1997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100%</w:t>
            </w:r>
          </w:p>
        </w:tc>
        <w:tc>
          <w:tcPr>
            <w:tcW w:type="dxa" w:w="1998"/>
            <w:vMerge w:val="continue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</w:tc>
        <w:tc>
          <w:tcPr>
            <w:tcW w:type="dxa" w:w="2005"/>
            <w:vMerge w:val="continue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124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7в</w:t>
            </w:r>
          </w:p>
        </w:tc>
        <w:tc>
          <w:tcPr>
            <w:tcW w:type="dxa" w:w="199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100%</w:t>
            </w:r>
          </w:p>
        </w:tc>
        <w:tc>
          <w:tcPr>
            <w:tcW w:type="dxa" w:w="1997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100%</w:t>
            </w:r>
          </w:p>
        </w:tc>
        <w:tc>
          <w:tcPr>
            <w:tcW w:type="dxa" w:w="1998"/>
            <w:vMerge w:val="continue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</w:tc>
        <w:tc>
          <w:tcPr>
            <w:tcW w:type="dxa" w:w="2005"/>
            <w:vMerge w:val="continue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124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9а</w:t>
            </w:r>
          </w:p>
        </w:tc>
        <w:tc>
          <w:tcPr>
            <w:tcW w:type="dxa" w:w="199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83%</w:t>
            </w:r>
          </w:p>
        </w:tc>
        <w:tc>
          <w:tcPr>
            <w:tcW w:type="dxa" w:w="1997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6"/>
                <w:szCs w:val="26"/>
              </w:rPr>
              <w:t>0%</w:t>
            </w:r>
          </w:p>
        </w:tc>
        <w:tc>
          <w:tcPr>
            <w:tcW w:type="dxa" w:w="1998"/>
            <w:vMerge w:val="restart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  <w:p>
            <w:pPr>
              <w:pStyle w:val="style22"/>
              <w:spacing w:after="28" w:before="28" w:line="360" w:lineRule="auto"/>
              <w:jc w:val="center"/>
              <w:textAlignment w:val="baseline"/>
            </w:pPr>
            <w:r>
              <w:rPr>
                <w:color w:val="000000"/>
                <w:sz w:val="26"/>
                <w:szCs w:val="26"/>
              </w:rPr>
              <w:t>94%</w:t>
            </w:r>
          </w:p>
        </w:tc>
        <w:tc>
          <w:tcPr>
            <w:tcW w:type="dxa" w:w="2005"/>
            <w:vMerge w:val="restart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  <w:p>
            <w:pPr>
              <w:pStyle w:val="style22"/>
              <w:spacing w:after="28" w:before="28" w:line="360" w:lineRule="auto"/>
              <w:jc w:val="center"/>
              <w:textAlignment w:val="baseline"/>
            </w:pPr>
            <w:r>
              <w:rPr>
                <w:color w:val="000000"/>
                <w:sz w:val="26"/>
                <w:szCs w:val="26"/>
              </w:rPr>
              <w:t>38%</w:t>
            </w:r>
          </w:p>
        </w:tc>
      </w:tr>
      <w:tr>
        <w:trPr>
          <w:cantSplit w:val="false"/>
        </w:trPr>
        <w:tc>
          <w:tcPr>
            <w:tcW w:type="dxa" w:w="124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>9б</w:t>
            </w:r>
          </w:p>
        </w:tc>
        <w:tc>
          <w:tcPr>
            <w:tcW w:type="dxa" w:w="199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>100%</w:t>
            </w:r>
          </w:p>
        </w:tc>
        <w:tc>
          <w:tcPr>
            <w:tcW w:type="dxa" w:w="1997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>50%</w:t>
            </w:r>
          </w:p>
        </w:tc>
        <w:tc>
          <w:tcPr>
            <w:tcW w:type="dxa" w:w="1998"/>
            <w:vMerge w:val="continue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</w:tc>
        <w:tc>
          <w:tcPr>
            <w:tcW w:type="dxa" w:w="2005"/>
            <w:vMerge w:val="continue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124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>9в</w:t>
            </w:r>
          </w:p>
        </w:tc>
        <w:tc>
          <w:tcPr>
            <w:tcW w:type="dxa" w:w="199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>100%</w:t>
            </w:r>
          </w:p>
        </w:tc>
        <w:tc>
          <w:tcPr>
            <w:tcW w:type="dxa" w:w="1997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>64%</w:t>
            </w:r>
          </w:p>
        </w:tc>
        <w:tc>
          <w:tcPr>
            <w:tcW w:type="dxa" w:w="1998"/>
            <w:vMerge w:val="continue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</w:tc>
        <w:tc>
          <w:tcPr>
            <w:tcW w:type="dxa" w:w="2005"/>
            <w:vMerge w:val="continue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124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  <w:t xml:space="preserve">Итого </w:t>
            </w:r>
          </w:p>
        </w:tc>
        <w:tc>
          <w:tcPr>
            <w:tcW w:type="dxa" w:w="199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</w:tc>
        <w:tc>
          <w:tcPr>
            <w:tcW w:type="dxa" w:w="1997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both"/>
              <w:textAlignment w:val="baseline"/>
            </w:pPr>
            <w:r>
              <w:rPr/>
            </w:r>
          </w:p>
        </w:tc>
        <w:tc>
          <w:tcPr>
            <w:tcW w:type="dxa" w:w="1998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center"/>
              <w:textAlignment w:val="baseline"/>
            </w:pPr>
            <w:r>
              <w:rPr/>
              <w:t>94%</w:t>
            </w:r>
          </w:p>
        </w:tc>
        <w:tc>
          <w:tcPr>
            <w:tcW w:type="dxa" w:w="2005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2"/>
              <w:spacing w:after="28" w:before="28" w:line="360" w:lineRule="auto"/>
              <w:jc w:val="center"/>
              <w:textAlignment w:val="baseline"/>
            </w:pPr>
            <w:r>
              <w:rPr/>
              <w:t>57%</w:t>
            </w:r>
          </w:p>
        </w:tc>
      </w:tr>
    </w:tbl>
    <w:p>
      <w:pPr>
        <w:pStyle w:val="style22"/>
        <w:spacing w:after="28" w:before="28" w:line="360" w:lineRule="auto"/>
        <w:ind w:firstLine="426" w:left="0" w:right="0"/>
        <w:jc w:val="both"/>
        <w:textAlignment w:val="baseline"/>
      </w:pPr>
      <w:r>
        <w:rPr/>
      </w:r>
    </w:p>
    <w:p>
      <w:pPr>
        <w:pStyle w:val="style23"/>
        <w:shd w:fill="FFFFFF" w:val="clear"/>
        <w:spacing w:after="28" w:before="28" w:line="360" w:lineRule="auto"/>
        <w:ind w:firstLine="567" w:left="0" w:right="0"/>
        <w:jc w:val="both"/>
      </w:pPr>
      <w:r>
        <w:rPr>
          <w:color w:val="000000"/>
          <w:sz w:val="28"/>
          <w:szCs w:val="28"/>
        </w:rPr>
        <w:t xml:space="preserve">Итоги проведенной работы свидетельствует о том, что сложность работы соответствовала познавательным возможностям обучающихся. По таблице мы видим, что обучающиеся 5г, 7а, 7б, 7в, 9б и 9в классов показали хорошие результаты. Обучающиеся 5а, 5в и 9а классов показали результат ниже среднего. </w:t>
      </w:r>
    </w:p>
    <w:p>
      <w:pPr>
        <w:pStyle w:val="style0"/>
        <w:jc w:val="both"/>
      </w:pPr>
      <w:r>
        <w:rPr>
          <w:rFonts w:ascii="Times New Roman" w:cs="Times New Roman" w:hAnsi="Times New Roman"/>
          <w:b/>
          <w:bCs/>
          <w:sz w:val="28"/>
          <w:szCs w:val="28"/>
        </w:rPr>
        <w:t>МОАУ СОШ №2 с.Исянгулово — в 10, 11 классах</w:t>
      </w:r>
    </w:p>
    <w:p>
      <w:pPr>
        <w:pStyle w:val="style0"/>
        <w:jc w:val="both"/>
      </w:pPr>
      <w:r>
        <w:rPr>
          <w:rFonts w:ascii="Times New Roman" w:cs="Times New Roman" w:hAnsi="Times New Roman"/>
          <w:b/>
          <w:bCs/>
          <w:sz w:val="28"/>
          <w:szCs w:val="28"/>
        </w:rPr>
        <w:t>Дата проведения</w:t>
      </w:r>
      <w:r>
        <w:rPr>
          <w:rFonts w:ascii="Times New Roman" w:cs="Times New Roman" w:hAnsi="Times New Roman"/>
          <w:sz w:val="28"/>
          <w:szCs w:val="28"/>
        </w:rPr>
        <w:t xml:space="preserve">: 30.09.2020 </w:t>
      </w:r>
    </w:p>
    <w:p>
      <w:pPr>
        <w:pStyle w:val="style0"/>
        <w:jc w:val="both"/>
      </w:pPr>
      <w:r>
        <w:rPr>
          <w:rFonts w:ascii="Times New Roman" w:cs="Times New Roman" w:hAnsi="Times New Roman"/>
          <w:sz w:val="28"/>
          <w:szCs w:val="28"/>
        </w:rPr>
        <w:t xml:space="preserve">Диагностическую работу выполнили 20 учеников 11а класса, что составило 83% от общего числа обучающихся. По уважительным причинам отсутствовало 4 ученика. </w:t>
      </w:r>
    </w:p>
    <w:p>
      <w:pPr>
        <w:pStyle w:val="style0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 xml:space="preserve">По результатам диагностики 6 учеников показали высокий уровень знаний, что составляет 30% от общего количества обучающих; 13 обучающихся выполнили работу на средний балл. Это составляет  65%. И 1 ученик показал низкий уровень знаний, что составляет 5 % всех учеников класса. </w:t>
      </w:r>
    </w:p>
    <w:p>
      <w:pPr>
        <w:pStyle w:val="style0"/>
        <w:spacing w:line="360" w:lineRule="auto"/>
        <w:ind w:firstLine="567" w:left="0" w:right="0"/>
        <w:jc w:val="both"/>
      </w:pPr>
      <w:r>
        <w:rPr>
          <w:rFonts w:ascii="Times New Roman" w:cs="Times New Roman" w:hAnsi="Times New Roman"/>
          <w:color w:val="000000"/>
          <w:sz w:val="28"/>
          <w:szCs w:val="28"/>
          <w:shd w:fill="FFFFFF" w:val="clear"/>
        </w:rPr>
        <w:tab/>
        <w:t>Работа состояла из 8 заданий. С 1 заданием не справилось 2 человека, со 2 – 1 человек, с 3 – 1 человек, с 4 – 6 учеников, с 5 – 6. Задания 6-8 выполнили все, сложности возникала только по некоторым критериям.</w:t>
      </w:r>
    </w:p>
    <w:p>
      <w:pPr>
        <w:pStyle w:val="style0"/>
        <w:spacing w:line="360" w:lineRule="auto"/>
        <w:ind w:firstLine="567" w:left="0" w:right="0"/>
        <w:jc w:val="both"/>
      </w:pPr>
      <w:r>
        <w:rPr>
          <w:rFonts w:ascii="Times New Roman" w:cs="Times New Roman" w:hAnsi="Times New Roman"/>
          <w:color w:val="000000"/>
          <w:sz w:val="28"/>
          <w:szCs w:val="28"/>
          <w:shd w:fill="FFFFFF" w:val="clear"/>
        </w:rPr>
        <w:t>В 10-м классе 28 обучающихся, выполнили работу 25 (%). По результатам проверки высокий уровень обнаружили 14 обучающихся (%), средний уровень у 10 обучающихся  (%), низкий уровень у 1 (%). В итоге 96% успеваемости, качество — 56%. В целом по школе успеваемость 96%, качество — 58%.</w:t>
      </w:r>
    </w:p>
    <w:p>
      <w:pPr>
        <w:pStyle w:val="style0"/>
        <w:spacing w:line="360" w:lineRule="auto"/>
        <w:ind w:firstLine="567" w:left="0" w:right="0"/>
        <w:jc w:val="both"/>
      </w:pPr>
      <w:r>
        <w:rPr>
          <w:rFonts w:ascii="Times New Roman" w:cs="Times New Roman" w:hAnsi="Times New Roman"/>
          <w:b/>
          <w:bCs/>
          <w:color w:val="000000"/>
          <w:sz w:val="28"/>
          <w:szCs w:val="28"/>
          <w:shd w:fill="FFFFFF" w:val="clear"/>
        </w:rPr>
        <w:t>Итоги НИКО по русскому языку:</w:t>
      </w:r>
    </w:p>
    <w:tbl>
      <w:tblPr>
        <w:tblW w:type="dxa" w:w="9780"/>
        <w:jc w:val="left"/>
        <w:tblBorders>
          <w:top w:color="000000" w:space="0" w:sz="2" w:val="single"/>
          <w:left w:color="000000" w:space="0" w:sz="2" w:val="single"/>
          <w:bottom w:color="000000" w:space="0" w:sz="2" w:val="single"/>
        </w:tblBorders>
      </w:tblPr>
      <w:tblGrid>
        <w:gridCol w:w="810"/>
        <w:gridCol w:w="2436"/>
        <w:gridCol w:w="1734"/>
        <w:gridCol w:w="1860"/>
        <w:gridCol w:w="1740"/>
        <w:gridCol w:w="1200"/>
      </w:tblGrid>
      <w:tr>
        <w:trPr>
          <w:cantSplit w:val="false"/>
        </w:trPr>
        <w:tc>
          <w:tcPr>
            <w:tcW w:type="dxa" w:w="810"/>
            <w:tcBorders>
              <w:top w:color="000000" w:space="0" w:sz="2" w:val="single"/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type="dxa" w:w="2436"/>
            <w:tcBorders>
              <w:top w:color="000000" w:space="0" w:sz="2" w:val="single"/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ОО</w:t>
            </w:r>
          </w:p>
        </w:tc>
        <w:tc>
          <w:tcPr>
            <w:tcW w:type="dxa" w:w="1734"/>
            <w:tcBorders>
              <w:top w:color="000000" w:space="0" w:sz="2" w:val="single"/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jc w:val="both"/>
            </w:pPr>
            <w:bookmarkStart w:id="0" w:name="__DdeLink__2486_134913129"/>
            <w:bookmarkEnd w:id="0"/>
            <w:r>
              <w:rPr/>
              <w:t>Количество обучающихся</w:t>
            </w:r>
          </w:p>
          <w:p>
            <w:pPr>
              <w:pStyle w:val="style24"/>
              <w:spacing w:after="200" w:before="0"/>
              <w:jc w:val="both"/>
            </w:pPr>
            <w:r>
              <w:rPr/>
              <w:t>(всего)</w:t>
            </w:r>
          </w:p>
        </w:tc>
        <w:tc>
          <w:tcPr>
            <w:tcW w:type="dxa" w:w="1860"/>
            <w:tcBorders>
              <w:top w:color="000000" w:space="0" w:sz="2" w:val="single"/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Количество обучающихся</w:t>
            </w:r>
          </w:p>
        </w:tc>
        <w:tc>
          <w:tcPr>
            <w:tcW w:type="dxa" w:w="1740"/>
            <w:tcBorders>
              <w:top w:color="000000" w:space="0" w:sz="2" w:val="single"/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Успеваемость</w:t>
            </w:r>
          </w:p>
        </w:tc>
        <w:tc>
          <w:tcPr>
            <w:tcW w:type="dxa" w:w="1200"/>
            <w:tcBorders>
              <w:top w:color="000000" w:space="0" w:sz="2" w:val="single"/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Качество</w:t>
            </w:r>
          </w:p>
        </w:tc>
      </w:tr>
      <w:tr>
        <w:trPr>
          <w:cantSplit w:val="false"/>
        </w:trPr>
        <w:tc>
          <w:tcPr>
            <w:tcW w:type="dxa" w:w="810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1</w:t>
            </w:r>
          </w:p>
        </w:tc>
        <w:tc>
          <w:tcPr>
            <w:tcW w:type="dxa" w:w="2436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0"/>
              <w:spacing w:after="200" w:before="0"/>
              <w:jc w:val="both"/>
            </w:pPr>
            <w:r>
              <w:rPr>
                <w:rFonts w:ascii="Times New Roman" w:cs="Times New Roman" w:hAnsi="Times New Roman"/>
                <w:b w:val="false"/>
                <w:bCs w:val="false"/>
                <w:sz w:val="24"/>
                <w:szCs w:val="24"/>
              </w:rPr>
              <w:t>МОАУ  башкирская гимназия-интернат с.Исянгулово</w:t>
            </w:r>
          </w:p>
        </w:tc>
        <w:tc>
          <w:tcPr>
            <w:tcW w:type="dxa" w:w="1734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20</w:t>
            </w:r>
          </w:p>
        </w:tc>
        <w:tc>
          <w:tcPr>
            <w:tcW w:type="dxa" w:w="1860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19</w:t>
            </w:r>
          </w:p>
        </w:tc>
        <w:tc>
          <w:tcPr>
            <w:tcW w:type="dxa" w:w="1740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100</w:t>
            </w:r>
          </w:p>
        </w:tc>
        <w:tc>
          <w:tcPr>
            <w:tcW w:type="dxa" w:w="1200"/>
            <w:tcBorders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68</w:t>
            </w:r>
          </w:p>
        </w:tc>
      </w:tr>
      <w:tr>
        <w:trPr>
          <w:cantSplit w:val="false"/>
        </w:trPr>
        <w:tc>
          <w:tcPr>
            <w:tcW w:type="dxa" w:w="810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2</w:t>
            </w:r>
          </w:p>
        </w:tc>
        <w:tc>
          <w:tcPr>
            <w:tcW w:type="dxa" w:w="2436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0"/>
              <w:spacing w:after="200" w:before="0"/>
              <w:jc w:val="both"/>
            </w:pPr>
            <w:r>
              <w:rPr>
                <w:rFonts w:ascii="Times New Roman" w:cs="Times New Roman" w:hAnsi="Times New Roman"/>
                <w:b w:val="false"/>
                <w:bCs w:val="false"/>
                <w:sz w:val="24"/>
                <w:szCs w:val="24"/>
              </w:rPr>
              <w:t>МОБУ СОШ им.Ф.Султанова с.Исянгулово</w:t>
            </w:r>
          </w:p>
        </w:tc>
        <w:tc>
          <w:tcPr>
            <w:tcW w:type="dxa" w:w="1734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155</w:t>
            </w:r>
          </w:p>
        </w:tc>
        <w:tc>
          <w:tcPr>
            <w:tcW w:type="dxa" w:w="1860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155</w:t>
            </w:r>
          </w:p>
        </w:tc>
        <w:tc>
          <w:tcPr>
            <w:tcW w:type="dxa" w:w="1740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94</w:t>
            </w:r>
          </w:p>
        </w:tc>
        <w:tc>
          <w:tcPr>
            <w:tcW w:type="dxa" w:w="1200"/>
            <w:tcBorders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57</w:t>
            </w:r>
          </w:p>
        </w:tc>
      </w:tr>
      <w:tr>
        <w:trPr>
          <w:cantSplit w:val="false"/>
        </w:trPr>
        <w:tc>
          <w:tcPr>
            <w:tcW w:type="dxa" w:w="810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3</w:t>
            </w:r>
          </w:p>
        </w:tc>
        <w:tc>
          <w:tcPr>
            <w:tcW w:type="dxa" w:w="2436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0"/>
              <w:spacing w:after="200" w:before="0"/>
              <w:jc w:val="both"/>
            </w:pPr>
            <w:r>
              <w:rPr>
                <w:rFonts w:ascii="Times New Roman" w:cs="Times New Roman" w:hAnsi="Times New Roman"/>
                <w:b w:val="false"/>
                <w:bCs w:val="false"/>
                <w:sz w:val="24"/>
                <w:szCs w:val="24"/>
              </w:rPr>
              <w:t>МОАУ СОШ №2 с.Исянгулово</w:t>
            </w:r>
          </w:p>
        </w:tc>
        <w:tc>
          <w:tcPr>
            <w:tcW w:type="dxa" w:w="1734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53</w:t>
            </w:r>
          </w:p>
        </w:tc>
        <w:tc>
          <w:tcPr>
            <w:tcW w:type="dxa" w:w="1860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45</w:t>
            </w:r>
          </w:p>
        </w:tc>
        <w:tc>
          <w:tcPr>
            <w:tcW w:type="dxa" w:w="1740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96</w:t>
            </w:r>
          </w:p>
        </w:tc>
        <w:tc>
          <w:tcPr>
            <w:tcW w:type="dxa" w:w="1200"/>
            <w:tcBorders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58</w:t>
            </w:r>
          </w:p>
        </w:tc>
      </w:tr>
      <w:tr>
        <w:trPr>
          <w:cantSplit w:val="false"/>
        </w:trPr>
        <w:tc>
          <w:tcPr>
            <w:tcW w:type="dxa" w:w="810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Итого</w:t>
            </w:r>
          </w:p>
        </w:tc>
        <w:tc>
          <w:tcPr>
            <w:tcW w:type="dxa" w:w="2436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</w:r>
          </w:p>
        </w:tc>
        <w:tc>
          <w:tcPr>
            <w:tcW w:type="dxa" w:w="1734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228</w:t>
            </w:r>
          </w:p>
        </w:tc>
        <w:tc>
          <w:tcPr>
            <w:tcW w:type="dxa" w:w="1860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219</w:t>
            </w:r>
          </w:p>
        </w:tc>
        <w:tc>
          <w:tcPr>
            <w:tcW w:type="dxa" w:w="1740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97%</w:t>
            </w:r>
          </w:p>
        </w:tc>
        <w:tc>
          <w:tcPr>
            <w:tcW w:type="dxa" w:w="1200"/>
            <w:tcBorders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4"/>
              <w:spacing w:after="200" w:before="0"/>
              <w:jc w:val="both"/>
            </w:pPr>
            <w:r>
              <w:rPr/>
              <w:t>61%</w:t>
            </w:r>
          </w:p>
        </w:tc>
      </w:tr>
    </w:tbl>
    <w:p>
      <w:pPr>
        <w:pStyle w:val="style0"/>
        <w:spacing w:line="360" w:lineRule="auto"/>
        <w:ind w:firstLine="567" w:left="0" w:right="0"/>
        <w:jc w:val="both"/>
      </w:pPr>
      <w:r>
        <w:rPr/>
      </w:r>
    </w:p>
    <w:p>
      <w:pPr>
        <w:pStyle w:val="style0"/>
        <w:spacing w:line="360" w:lineRule="auto"/>
        <w:ind w:firstLine="567" w:left="0" w:right="0"/>
        <w:jc w:val="both"/>
      </w:pPr>
      <w:r>
        <w:rPr>
          <w:rFonts w:ascii="Times New Roman" w:cs="Times New Roman" w:hAnsi="Times New Roman"/>
          <w:color w:val="000000"/>
          <w:sz w:val="28"/>
          <w:szCs w:val="28"/>
          <w:shd w:fill="FFFFFF" w:val="clear"/>
        </w:rPr>
        <w:t>Проведенный анализ выполненных диагностических работ позволяет выявить следующие затруднения:</w:t>
      </w:r>
    </w:p>
    <w:p>
      <w:pPr>
        <w:pStyle w:val="style0"/>
        <w:spacing w:line="360" w:lineRule="auto"/>
        <w:ind w:firstLine="567" w:left="0" w:right="0"/>
        <w:jc w:val="both"/>
      </w:pPr>
      <w:r>
        <w:rPr>
          <w:rFonts w:ascii="Times New Roman" w:cs="Times New Roman" w:hAnsi="Times New Roman"/>
          <w:color w:val="000000"/>
          <w:sz w:val="28"/>
          <w:szCs w:val="28"/>
          <w:shd w:fill="FFFFFF" w:val="clear"/>
        </w:rPr>
        <w:t>- умение аргументировать свою точку зрения;</w:t>
      </w:r>
    </w:p>
    <w:p>
      <w:pPr>
        <w:pStyle w:val="style0"/>
        <w:spacing w:line="360" w:lineRule="auto"/>
        <w:ind w:firstLine="567" w:left="0" w:right="0"/>
        <w:jc w:val="both"/>
      </w:pPr>
      <w:r>
        <w:rPr>
          <w:rFonts w:ascii="Times New Roman" w:cs="Times New Roman" w:hAnsi="Times New Roman"/>
          <w:color w:val="000000"/>
          <w:sz w:val="28"/>
          <w:szCs w:val="28"/>
          <w:shd w:fill="FFFFFF" w:val="clear"/>
        </w:rPr>
        <w:t>- умение грамотно формулировать мысли, оформлять их по правилам русской грамматики;</w:t>
      </w:r>
    </w:p>
    <w:p>
      <w:pPr>
        <w:pStyle w:val="style0"/>
        <w:spacing w:line="360" w:lineRule="auto"/>
        <w:ind w:firstLine="567" w:left="0" w:right="0"/>
        <w:jc w:val="both"/>
      </w:pPr>
      <w:r>
        <w:rPr>
          <w:rFonts w:ascii="Times New Roman" w:cs="Times New Roman" w:hAnsi="Times New Roman"/>
          <w:color w:val="000000"/>
          <w:sz w:val="28"/>
          <w:szCs w:val="28"/>
          <w:shd w:fill="FFFFFF" w:val="clear"/>
        </w:rPr>
        <w:t>- умение соотносить различные точки зрения.</w:t>
      </w:r>
    </w:p>
    <w:p>
      <w:pPr>
        <w:pStyle w:val="style0"/>
        <w:spacing w:line="360" w:lineRule="auto"/>
        <w:ind w:firstLine="567" w:left="0" w:right="0"/>
        <w:jc w:val="both"/>
      </w:pPr>
      <w:r>
        <w:rPr>
          <w:rFonts w:ascii="Times New Roman" w:cs="Times New Roman" w:hAnsi="Times New Roman"/>
          <w:color w:val="000000"/>
          <w:sz w:val="28"/>
          <w:szCs w:val="28"/>
          <w:shd w:fill="FFFFFF" w:val="clear"/>
        </w:rPr>
        <w:t>Рекомендации:</w:t>
      </w:r>
    </w:p>
    <w:p>
      <w:pPr>
        <w:pStyle w:val="style0"/>
        <w:spacing w:line="360" w:lineRule="auto"/>
        <w:ind w:firstLine="567" w:left="0" w:right="0"/>
        <w:jc w:val="both"/>
      </w:pPr>
      <w:r>
        <w:rPr>
          <w:rFonts w:ascii="Times New Roman" w:cs="Times New Roman" w:hAnsi="Times New Roman"/>
          <w:color w:val="000000"/>
          <w:sz w:val="28"/>
          <w:szCs w:val="28"/>
          <w:shd w:fill="FFFFFF" w:val="clear"/>
        </w:rPr>
        <w:t>Исходя из выше данных результатов исследований по предмету «Русский язык» для ликвидации пробелов  в  знаниях обучающихся при организации образовательного процесса надо выполнять тестовые задания, развивать мыслительную деятельность обучающихся, активизировать коммуникативно - деятельностный подход в преподавании русского языка. Необходимо также развивать навыки умения аргументировать свою точку зрения, грамотно формулировать и оформлять свои мысли.</w:t>
      </w:r>
    </w:p>
    <w:p>
      <w:pPr>
        <w:pStyle w:val="style23"/>
        <w:shd w:fill="FFFFFF" w:val="clear"/>
        <w:spacing w:after="28" w:before="28" w:line="360" w:lineRule="auto"/>
        <w:ind w:firstLine="567" w:left="0" w:right="0"/>
        <w:jc w:val="both"/>
      </w:pPr>
      <w:r>
        <w:rPr/>
      </w:r>
    </w:p>
    <w:p>
      <w:pPr>
        <w:pStyle w:val="style0"/>
        <w:spacing w:after="0" w:before="0" w:line="360" w:lineRule="auto"/>
        <w:ind w:firstLine="426" w:left="0" w:right="0"/>
        <w:jc w:val="both"/>
      </w:pPr>
      <w:r>
        <w:rPr/>
      </w:r>
    </w:p>
    <w:p>
      <w:pPr>
        <w:pStyle w:val="style0"/>
        <w:spacing w:after="0" w:before="0"/>
        <w:ind w:firstLine="426" w:left="0" w:right="0"/>
        <w:jc w:val="both"/>
      </w:pPr>
      <w:r>
        <w:rPr/>
      </w:r>
    </w:p>
    <w:p>
      <w:pPr>
        <w:pStyle w:val="style0"/>
        <w:spacing w:after="0" w:before="0"/>
        <w:ind w:firstLine="426" w:left="0" w:right="0"/>
        <w:jc w:val="both"/>
      </w:pPr>
      <w:r>
        <w:rPr/>
      </w:r>
    </w:p>
    <w:sectPr>
      <w:type w:val="nextPage"/>
      <w:pgSz w:h="16838" w:w="11906"/>
      <w:pgMar w:bottom="1134" w:footer="0" w:gutter="0" w:header="0" w:left="1276" w:right="850" w:top="1134"/>
      <w:pgNumType w:fmt="decimal"/>
      <w:formProt w:val="false"/>
      <w:textDirection w:val="lrTb"/>
      <w:docGrid w:charSpace="8192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Calibri" w:eastAsia="Droid Sans" w:hAnsi="Calibri"/>
      <w:color w:val="00000A"/>
      <w:sz w:val="22"/>
      <w:szCs w:val="22"/>
      <w:lang w:bidi="ar-SA" w:eastAsia="en-US" w:val="ru-RU"/>
    </w:rPr>
  </w:style>
  <w:style w:styleId="style15" w:type="character">
    <w:name w:val="Default Paragraph Font"/>
    <w:next w:val="style15"/>
    <w:rPr/>
  </w:style>
  <w:style w:styleId="style16" w:type="character">
    <w:name w:val="c3 c14"/>
    <w:basedOn w:val="style15"/>
    <w:next w:val="style16"/>
    <w:rPr/>
  </w:style>
  <w:style w:styleId="style17" w:type="paragraph">
    <w:name w:val="Заголовок"/>
    <w:basedOn w:val="style0"/>
    <w:next w:val="style18"/>
    <w:pPr>
      <w:keepNext/>
      <w:spacing w:after="120" w:before="240"/>
    </w:pPr>
    <w:rPr>
      <w:rFonts w:ascii="Liberation Sans" w:cs="Lohit Hindi" w:eastAsia="Droid Sans" w:hAnsi="Liberation Sans"/>
      <w:sz w:val="28"/>
      <w:szCs w:val="28"/>
    </w:rPr>
  </w:style>
  <w:style w:styleId="style18" w:type="paragraph">
    <w:name w:val="Основной текст"/>
    <w:basedOn w:val="style0"/>
    <w:next w:val="style18"/>
    <w:pPr>
      <w:spacing w:after="120" w:before="0"/>
    </w:pPr>
    <w:rPr/>
  </w:style>
  <w:style w:styleId="style19" w:type="paragraph">
    <w:name w:val="Список"/>
    <w:basedOn w:val="style18"/>
    <w:next w:val="style19"/>
    <w:pPr/>
    <w:rPr>
      <w:rFonts w:cs="Lohit Hindi"/>
    </w:rPr>
  </w:style>
  <w:style w:styleId="style20" w:type="paragraph">
    <w:name w:val="Название"/>
    <w:basedOn w:val="style0"/>
    <w:next w:val="style20"/>
    <w:pPr>
      <w:suppressLineNumbers/>
      <w:spacing w:after="120" w:before="120"/>
    </w:pPr>
    <w:rPr>
      <w:rFonts w:cs="Lohit Hindi"/>
      <w:i/>
      <w:iCs/>
      <w:sz w:val="24"/>
      <w:szCs w:val="24"/>
    </w:rPr>
  </w:style>
  <w:style w:styleId="style21" w:type="paragraph">
    <w:name w:val="Указатель"/>
    <w:basedOn w:val="style0"/>
    <w:next w:val="style21"/>
    <w:pPr>
      <w:suppressLineNumbers/>
    </w:pPr>
    <w:rPr>
      <w:rFonts w:cs="Lohit Hindi"/>
    </w:rPr>
  </w:style>
  <w:style w:styleId="style22" w:type="paragraph">
    <w:name w:val="font_8"/>
    <w:basedOn w:val="style0"/>
    <w:next w:val="style22"/>
    <w:pPr>
      <w:spacing w:after="28" w:before="28" w:line="100" w:lineRule="atLeast"/>
    </w:pPr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paragraph">
    <w:name w:val="Normal (Web)"/>
    <w:basedOn w:val="style0"/>
    <w:next w:val="style23"/>
    <w:pPr>
      <w:spacing w:after="28" w:before="28" w:line="100" w:lineRule="atLeast"/>
    </w:pPr>
    <w:rPr>
      <w:rFonts w:ascii="Times New Roman" w:cs="Times New Roman" w:eastAsia="Times New Roman" w:hAnsi="Times New Roman"/>
      <w:sz w:val="24"/>
      <w:szCs w:val="24"/>
      <w:lang w:eastAsia="ru-RU"/>
    </w:rPr>
  </w:style>
  <w:style w:styleId="style24" w:type="paragraph">
    <w:name w:val="Содержимое таблицы"/>
    <w:basedOn w:val="style0"/>
    <w:next w:val="style24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LibreOffice/3.5$Linux_X86_64 LibreOffice_project/350m1$Build-2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2020-12-02T14:56:00.00Z</dcterms:created>
  <dc:creator>Салават</dc:creator>
  <cp:lastModifiedBy>Салават</cp:lastModifiedBy>
  <dcterms:modified xsi:type="dcterms:W3CDTF">2020-12-02T15:28:00.00Z</dcterms:modified>
  <cp:revision>5</cp:revision>
</cp:coreProperties>
</file>